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BC1" w:rsidRPr="00581499" w:rsidRDefault="00BD1BC1" w:rsidP="00BD1BC1">
      <w:pPr>
        <w:pStyle w:val="Heading1"/>
        <w:jc w:val="both"/>
        <w:rPr>
          <w:rFonts w:eastAsia="Times"/>
          <w:lang w:val="vi-VN"/>
        </w:rPr>
      </w:pPr>
      <w:bookmarkStart w:id="0" w:name="_Toc143821569"/>
      <w:r w:rsidRPr="002359B5">
        <w:rPr>
          <w:rFonts w:eastAsia="Times"/>
          <w:sz w:val="24"/>
          <w:szCs w:val="24"/>
        </w:rPr>
        <w:t>XÉT NGHIỆM A</w:t>
      </w:r>
      <w:r>
        <w:rPr>
          <w:rFonts w:eastAsia="Times"/>
          <w:sz w:val="24"/>
          <w:szCs w:val="24"/>
        </w:rPr>
        <w:t>CID</w:t>
      </w:r>
      <w:r w:rsidRPr="002359B5">
        <w:rPr>
          <w:rFonts w:eastAsia="Times"/>
          <w:sz w:val="24"/>
          <w:szCs w:val="24"/>
        </w:rPr>
        <w:t xml:space="preserve"> URIC</w:t>
      </w:r>
      <w:r w:rsidRPr="00581499">
        <w:rPr>
          <w:rFonts w:eastAsia="Times"/>
        </w:rPr>
        <w:t xml:space="preserve">, </w:t>
      </w:r>
      <w:r w:rsidRPr="00581499">
        <w:rPr>
          <w:rFonts w:eastAsia="Times New Roman"/>
          <w:b w:val="0"/>
          <w:bCs/>
        </w:rPr>
        <w:t>xét nghiệm được thực hiện để đo nồng độ axít uric trong huyết thanh hoặc trong nước tiểu.</w:t>
      </w:r>
      <w:bookmarkEnd w:id="0"/>
    </w:p>
    <w:p w:rsidR="00BD1BC1" w:rsidRPr="00581499" w:rsidRDefault="00BD1BC1" w:rsidP="00BD1BC1">
      <w:pPr>
        <w:spacing w:before="120" w:after="0"/>
        <w:ind w:firstLine="567"/>
        <w:rPr>
          <w:rFonts w:eastAsia="Times"/>
          <w:sz w:val="28"/>
          <w:szCs w:val="28"/>
          <w:lang w:val="vi-VN"/>
        </w:rPr>
      </w:pPr>
      <w:r w:rsidRPr="00581499">
        <w:rPr>
          <w:rFonts w:eastAsia="Times"/>
          <w:sz w:val="28"/>
          <w:szCs w:val="28"/>
          <w:lang w:val="vi-VN"/>
        </w:rPr>
        <w:t>A</w:t>
      </w:r>
      <w:r w:rsidRPr="008B25B4">
        <w:rPr>
          <w:rFonts w:eastAsia="Times"/>
          <w:sz w:val="28"/>
          <w:szCs w:val="28"/>
          <w:lang w:val="vi-VN"/>
        </w:rPr>
        <w:t>cid</w:t>
      </w:r>
      <w:r w:rsidRPr="00581499">
        <w:rPr>
          <w:rFonts w:eastAsia="Times"/>
          <w:sz w:val="28"/>
          <w:szCs w:val="28"/>
          <w:lang w:val="vi-VN"/>
        </w:rPr>
        <w:t xml:space="preserve"> uric là một sản phẩm thải từ thoái giáng purine, một axit nucleic (Axit nucleic là các chất cấu trúc cơ bản của DNA). Axit uric được tạo ra ở gan và bài tiết qua thận. Nếu gan sản xuất quá nhiều axit uric hoặc thận bài tiết quá ít, cơ thể sẽ có quá nhiều axit uric trong máu. Tình trạng này được gọi là tăng axit uric máu. Axit uric bão hòa trong nước tiểu có thể kết tinh để tạo thành sỏi thận, chặn đường dẫn nước tiểu từ thận đến bàng quang.</w:t>
      </w:r>
    </w:p>
    <w:p w:rsidR="00BD1BC1" w:rsidRPr="00581499" w:rsidRDefault="00BD1BC1" w:rsidP="00BD1BC1">
      <w:pPr>
        <w:rPr>
          <w:rFonts w:eastAsia="Times"/>
          <w:sz w:val="28"/>
          <w:szCs w:val="28"/>
          <w:lang w:val="vi-VN"/>
        </w:rPr>
      </w:pPr>
      <w:r w:rsidRPr="008B25B4">
        <w:rPr>
          <w:rFonts w:eastAsia="Times"/>
          <w:sz w:val="28"/>
          <w:szCs w:val="28"/>
          <w:lang w:val="vi-VN"/>
        </w:rPr>
        <w:t>XNAU</w:t>
      </w:r>
      <w:r w:rsidRPr="00581499">
        <w:rPr>
          <w:rFonts w:eastAsia="Times"/>
          <w:sz w:val="28"/>
          <w:szCs w:val="28"/>
          <w:lang w:val="vi-VN"/>
        </w:rPr>
        <w:t xml:space="preserve"> được dùng để đánh giá nồng độ </w:t>
      </w:r>
      <w:r w:rsidRPr="008B25B4">
        <w:rPr>
          <w:rFonts w:eastAsia="Times"/>
          <w:sz w:val="28"/>
          <w:szCs w:val="28"/>
          <w:lang w:val="vi-VN"/>
        </w:rPr>
        <w:t>axit</w:t>
      </w:r>
      <w:r w:rsidRPr="00581499">
        <w:rPr>
          <w:rFonts w:eastAsia="Times"/>
          <w:sz w:val="28"/>
          <w:szCs w:val="28"/>
          <w:lang w:val="vi-VN"/>
        </w:rPr>
        <w:t xml:space="preserve"> uric</w:t>
      </w:r>
      <w:r w:rsidRPr="008B25B4">
        <w:rPr>
          <w:rFonts w:eastAsia="Times"/>
          <w:sz w:val="28"/>
          <w:szCs w:val="28"/>
          <w:lang w:val="vi-VN"/>
        </w:rPr>
        <w:t xml:space="preserve"> </w:t>
      </w:r>
      <w:r w:rsidRPr="00581499">
        <w:rPr>
          <w:rFonts w:eastAsia="Times"/>
          <w:sz w:val="28"/>
          <w:szCs w:val="28"/>
          <w:lang w:val="vi-VN"/>
        </w:rPr>
        <w:t>trong</w:t>
      </w:r>
      <w:r w:rsidRPr="008B25B4">
        <w:rPr>
          <w:rFonts w:eastAsia="Times"/>
          <w:sz w:val="28"/>
          <w:szCs w:val="28"/>
          <w:lang w:val="vi-VN"/>
        </w:rPr>
        <w:t xml:space="preserve"> máu nhằm đánh giá bệnh gout và trong nước tiểu để đánh giá nguy cơ hình thành sỏi thận. Bệnh Gout là rối loạn chuyển hóa đặc trưng bởi đợt viêm khớp cấp đột ngột, tái phát, gây ra bởi sự lắng đọng các tinh thể axit uric tích tụ trong các khớp do nồng độ axit uric máu cao bất thường.</w:t>
      </w:r>
    </w:p>
    <w:p w:rsidR="00BD1BC1" w:rsidRPr="008B25B4" w:rsidRDefault="00BD1BC1" w:rsidP="00BD1BC1">
      <w:pPr>
        <w:spacing w:before="120" w:after="0"/>
        <w:rPr>
          <w:rFonts w:eastAsia="Calibri"/>
          <w:sz w:val="28"/>
          <w:szCs w:val="28"/>
          <w:lang w:val="vi-VN"/>
        </w:rPr>
      </w:pPr>
      <w:r w:rsidRPr="00581499">
        <w:rPr>
          <w:rFonts w:eastAsia="Times"/>
          <w:sz w:val="28"/>
          <w:szCs w:val="28"/>
          <w:lang w:val="vi-VN"/>
        </w:rPr>
        <w:t>Xét nghiệm nước tiểu được sử dụng thường xuyên nhất để theo dõi bệnh nhân đã được chẩn đoán sỏi thận, nhưng nó cũng có thể được sử dụng để phát hiện các rối loạn ảnh hưởng đến việc sản xuất a</w:t>
      </w:r>
      <w:r w:rsidRPr="008B25B4">
        <w:rPr>
          <w:rFonts w:eastAsia="Times"/>
          <w:sz w:val="28"/>
          <w:szCs w:val="28"/>
          <w:lang w:val="vi-VN"/>
        </w:rPr>
        <w:t>cid</w:t>
      </w:r>
      <w:r w:rsidRPr="00581499">
        <w:rPr>
          <w:rFonts w:eastAsia="Times"/>
          <w:sz w:val="28"/>
          <w:szCs w:val="28"/>
          <w:lang w:val="vi-VN"/>
        </w:rPr>
        <w:t xml:space="preserve"> uric của cơ thể và để đánh giá mức độ hoạt động của thận.</w:t>
      </w:r>
    </w:p>
    <w:p w:rsidR="00BD1BC1" w:rsidRPr="008B25B4" w:rsidRDefault="00BD1BC1" w:rsidP="00BD1BC1">
      <w:pPr>
        <w:spacing w:before="120" w:after="0"/>
        <w:ind w:firstLine="567"/>
        <w:rPr>
          <w:rFonts w:eastAsia="Times"/>
          <w:sz w:val="28"/>
          <w:szCs w:val="28"/>
          <w:lang w:val="vi-VN"/>
        </w:rPr>
      </w:pPr>
      <w:r w:rsidRPr="008B25B4">
        <w:rPr>
          <w:rFonts w:eastAsia="Times"/>
          <w:b/>
          <w:bCs/>
          <w:i/>
          <w:iCs/>
          <w:sz w:val="28"/>
          <w:szCs w:val="28"/>
          <w:lang w:val="vi-VN"/>
        </w:rPr>
        <w:t xml:space="preserve">Xét nghiệm máu: </w:t>
      </w:r>
      <w:r w:rsidRPr="008B25B4">
        <w:rPr>
          <w:rFonts w:eastAsia="Times"/>
          <w:sz w:val="28"/>
          <w:szCs w:val="28"/>
          <w:lang w:val="vi-VN"/>
        </w:rPr>
        <w:t>bệnh nhân được xét nghiệm axit uric cần được kiểm tra sử dụng các loại thuốc sau: thuốc lợi tiểu (Diamox, Bumex, Edecrin hoặc Lasix); Ethambutol (Myambutol); Vincristine (Oncovin); pyrazinamid (Tebrazid)</w:t>
      </w:r>
      <w:r w:rsidRPr="00581499">
        <w:rPr>
          <w:rFonts w:eastAsia="Times"/>
          <w:sz w:val="28"/>
          <w:szCs w:val="28"/>
          <w:lang w:val="vi-VN"/>
        </w:rPr>
        <w:t>; thuốc</w:t>
      </w:r>
      <w:r w:rsidRPr="008B25B4">
        <w:rPr>
          <w:rFonts w:eastAsia="Times"/>
          <w:sz w:val="28"/>
          <w:szCs w:val="28"/>
          <w:lang w:val="vi-VN"/>
        </w:rPr>
        <w:t xml:space="preserve"> lợi tiểu Thiazide (Naturetin, Hydrex, Diuril, Esidrix, HydroDiuril, Aquatensen, Renese, Diurese); Aspirin (liều thấp); Acetaminophen (Tylenol); Ascobic axit (chế phẩm vitamin C); Levodopa (Larodopa); hoặc là Phenacetin. Những loại thuốc này có thể ảnh hưởng đến kết quả xét nghiệm.</w:t>
      </w:r>
    </w:p>
    <w:p w:rsidR="00BD1BC1" w:rsidRPr="008B25B4" w:rsidRDefault="00BD1BC1" w:rsidP="00BD1BC1">
      <w:pPr>
        <w:spacing w:before="120" w:after="0"/>
        <w:ind w:firstLine="567"/>
        <w:rPr>
          <w:rFonts w:eastAsia="Times"/>
          <w:sz w:val="28"/>
          <w:szCs w:val="28"/>
          <w:lang w:val="vi-VN"/>
        </w:rPr>
      </w:pPr>
      <w:r w:rsidRPr="008B25B4">
        <w:rPr>
          <w:rFonts w:eastAsia="Times"/>
          <w:sz w:val="28"/>
          <w:szCs w:val="28"/>
          <w:lang w:val="vi-VN"/>
        </w:rPr>
        <w:t xml:space="preserve">Một số thực phẩm có nhiều purine (gồm thận, gan, bánh ngọt, cá mòi, cá cơm và chiết xuất thịt) có thể làm tăng nồng độ axit uric của bệnh nhân.  </w:t>
      </w:r>
    </w:p>
    <w:p w:rsidR="00BD1BC1" w:rsidRPr="008B25B4" w:rsidRDefault="00BD1BC1" w:rsidP="00BD1BC1">
      <w:pPr>
        <w:spacing w:before="120" w:after="0"/>
        <w:ind w:firstLine="567"/>
        <w:rPr>
          <w:rFonts w:eastAsia="Times"/>
          <w:sz w:val="28"/>
          <w:szCs w:val="28"/>
          <w:lang w:val="vi-VN"/>
        </w:rPr>
      </w:pPr>
      <w:r w:rsidRPr="008B25B4">
        <w:rPr>
          <w:rFonts w:eastAsia="Times"/>
          <w:b/>
          <w:bCs/>
          <w:i/>
          <w:iCs/>
          <w:sz w:val="28"/>
          <w:szCs w:val="28"/>
          <w:lang w:val="vi-VN"/>
        </w:rPr>
        <w:t>Xét nghiệm nước tiểu:</w:t>
      </w:r>
      <w:r w:rsidRPr="008B25B4" w:rsidDel="005A5C98">
        <w:rPr>
          <w:rFonts w:eastAsia="Times"/>
          <w:sz w:val="28"/>
          <w:szCs w:val="28"/>
          <w:lang w:val="vi-VN"/>
        </w:rPr>
        <w:t xml:space="preserve"> </w:t>
      </w:r>
      <w:r w:rsidRPr="008B25B4">
        <w:rPr>
          <w:rFonts w:eastAsia="Times"/>
          <w:sz w:val="28"/>
          <w:szCs w:val="28"/>
          <w:lang w:val="vi-VN"/>
        </w:rPr>
        <w:t xml:space="preserve">bệnh nhân cần được kiểm tra các thuốc sau đây trước khi xét nghiệm nước tiểu: thuốc lợi tiểu, Aspirin, Pyrazinamide (Tebrazid), </w:t>
      </w:r>
      <w:r w:rsidRPr="008B25B4">
        <w:rPr>
          <w:rFonts w:eastAsia="Times"/>
          <w:sz w:val="28"/>
          <w:szCs w:val="28"/>
          <w:lang w:val="vi-VN"/>
        </w:rPr>
        <w:lastRenderedPageBreak/>
        <w:t>Phenylbutazone, Probenecid (Benemid) và Allopurinol (Lopurin). Nếu bệnh nhân cần tiếp tục dùng các loại thuốc này, phòng xét nghiệm nên được thông báo.</w:t>
      </w:r>
    </w:p>
    <w:p w:rsidR="00BD1BC1" w:rsidRPr="008B25B4" w:rsidRDefault="00BD1BC1" w:rsidP="00BD1BC1">
      <w:pPr>
        <w:spacing w:before="120" w:after="0"/>
        <w:ind w:firstLine="567"/>
        <w:rPr>
          <w:rFonts w:eastAsia="Times"/>
          <w:sz w:val="28"/>
          <w:szCs w:val="28"/>
          <w:lang w:val="vi-VN"/>
        </w:rPr>
      </w:pPr>
      <w:r w:rsidRPr="008B25B4">
        <w:rPr>
          <w:rFonts w:eastAsia="Times"/>
          <w:sz w:val="28"/>
          <w:szCs w:val="28"/>
          <w:lang w:val="vi-VN"/>
        </w:rPr>
        <w:t>Phòng thí nghiệm cũng nên được thông báo nếu bệnh nhân gần đây làm các xét nghiệm X quang yêu cầu thuốc cản quang. Những hóa chất này làm tăng nồng độ axit uric trong nước tiểu và giảm trong máu.</w:t>
      </w:r>
    </w:p>
    <w:p w:rsidR="00BD1BC1" w:rsidRPr="008B25B4" w:rsidRDefault="00BD1BC1" w:rsidP="00BD1BC1">
      <w:pPr>
        <w:spacing w:before="120" w:after="0"/>
        <w:ind w:firstLine="567"/>
        <w:rPr>
          <w:rFonts w:eastAsia="Times"/>
          <w:sz w:val="28"/>
          <w:szCs w:val="28"/>
          <w:lang w:val="vi-VN"/>
        </w:rPr>
      </w:pPr>
      <w:r w:rsidRPr="008B25B4">
        <w:rPr>
          <w:rFonts w:eastAsia="Times"/>
          <w:sz w:val="28"/>
          <w:szCs w:val="28"/>
          <w:lang w:val="vi-VN"/>
        </w:rPr>
        <w:t>Xét nghiệm máu axit uric được thực hiện trên mẫu máu của bệnh nhân, lấy từ tĩnh mạch vào một ống chân không. Quá trình được gọi là lấy máu tĩnh mạch (Venipuncture), mất khoảng năm phút. Xét nghiệm nước tiểu yêu cầu bệnh nhân thu thập tất cả nước tiểu đi trong khoảng thời gian 24 giờ, ngoại trừ mẫu vật đầu tiên, bệnh nhân bảo quản vật chứa mẫu trong đá lạnh hoặc trong tủ lạnh trong thời gian thu thập.</w:t>
      </w:r>
    </w:p>
    <w:p w:rsidR="00BD1BC1" w:rsidRPr="008B25B4" w:rsidRDefault="00BD1BC1" w:rsidP="00BD1BC1">
      <w:pPr>
        <w:spacing w:before="120" w:after="0"/>
        <w:ind w:firstLine="567"/>
        <w:rPr>
          <w:rFonts w:eastAsia="Calibri"/>
          <w:sz w:val="28"/>
          <w:szCs w:val="28"/>
          <w:lang w:val="vi-VN"/>
        </w:rPr>
      </w:pPr>
      <w:r w:rsidRPr="008B25B4">
        <w:rPr>
          <w:rFonts w:eastAsia="Calibri"/>
          <w:b/>
          <w:sz w:val="28"/>
          <w:szCs w:val="28"/>
          <w:lang w:val="vi-VN"/>
        </w:rPr>
        <w:t>Chuẩn bị:</w:t>
      </w:r>
      <w:r w:rsidRPr="008B25B4">
        <w:rPr>
          <w:rFonts w:eastAsia="Calibri"/>
          <w:sz w:val="28"/>
          <w:szCs w:val="28"/>
          <w:lang w:val="vi-VN"/>
        </w:rPr>
        <w:t xml:space="preserve"> XNAU cần có mẫu máu hoặc nước tiểu. Đối với mẫu máu, bệnh nhân nên nhịn ăn trong ít nhất tám giờ trước lúc kiểm tra. Xét nghiệm nước tiểu tìm axit uric cần gom nước tiểu 24 giờ. Xét nghiệm nước tiểu không yêu cầu bệnh nhân nhịn ăn hoặc uống. Một số phòng thí nghiệm khuyến khích bệnh nhân uống nhiều nước trong thời gian thu thập. Rủi ro cho xét nghiệm máu là tối thiểu, nhưng có thể bao gồm chảy máu nhẹ từ vị trí chọc kim, vết bầm nhỏ hoặc sưng tại chỗ, có người ngất xỉu hoặc choáng váng, nhưng rất hiếm.</w:t>
      </w:r>
    </w:p>
    <w:p w:rsidR="00BD1BC1" w:rsidRPr="008B25B4" w:rsidRDefault="00BD1BC1" w:rsidP="00BD1BC1">
      <w:pPr>
        <w:spacing w:before="120" w:after="0"/>
        <w:ind w:firstLine="567"/>
        <w:rPr>
          <w:rFonts w:eastAsia="Calibri"/>
          <w:b/>
          <w:sz w:val="28"/>
          <w:szCs w:val="28"/>
          <w:lang w:val="vi-VN"/>
        </w:rPr>
      </w:pPr>
      <w:r w:rsidRPr="008B25B4">
        <w:rPr>
          <w:rFonts w:eastAsia="Calibri"/>
          <w:b/>
          <w:sz w:val="28"/>
          <w:szCs w:val="28"/>
          <w:lang w:val="vi-VN"/>
        </w:rPr>
        <w:t xml:space="preserve">Kết quả: </w:t>
      </w:r>
      <w:r w:rsidRPr="008B25B4">
        <w:rPr>
          <w:rFonts w:eastAsia="Calibri"/>
          <w:bCs/>
          <w:sz w:val="28"/>
          <w:szCs w:val="28"/>
          <w:lang w:val="vi-VN"/>
        </w:rPr>
        <w:t xml:space="preserve">1) </w:t>
      </w:r>
      <w:r w:rsidRPr="008B25B4">
        <w:rPr>
          <w:rFonts w:eastAsia="Times"/>
          <w:bCs/>
          <w:i/>
          <w:iCs/>
          <w:sz w:val="28"/>
          <w:szCs w:val="28"/>
          <w:lang w:val="vi-VN"/>
        </w:rPr>
        <w:t>Xét nghiệm máu:</w:t>
      </w:r>
      <w:r w:rsidRPr="008B25B4">
        <w:rPr>
          <w:rFonts w:eastAsia="Times"/>
          <w:sz w:val="28"/>
          <w:szCs w:val="28"/>
          <w:lang w:val="vi-VN"/>
        </w:rPr>
        <w:t xml:space="preserve"> giá trị tham chiếu cho axit uric máu khác nhau tùy phòng thí nghiệm nhưng thường trong phạm vi sau: Nam: 147-420 </w:t>
      </w:r>
      <w:r w:rsidRPr="00581499">
        <w:rPr>
          <w:rFonts w:eastAsia="Times"/>
          <w:sz w:val="28"/>
          <w:szCs w:val="28"/>
        </w:rPr>
        <w:t>μ</w:t>
      </w:r>
      <w:r w:rsidRPr="008B25B4">
        <w:rPr>
          <w:rFonts w:eastAsia="Times"/>
          <w:sz w:val="28"/>
          <w:szCs w:val="28"/>
          <w:lang w:val="vi-VN"/>
        </w:rPr>
        <w:t>mol/</w:t>
      </w:r>
      <w:r w:rsidRPr="00581499">
        <w:rPr>
          <w:rFonts w:eastAsia="Times"/>
          <w:sz w:val="28"/>
          <w:szCs w:val="28"/>
          <w:lang w:val="vi-VN"/>
        </w:rPr>
        <w:t xml:space="preserve">l. </w:t>
      </w:r>
      <w:r w:rsidRPr="008B25B4">
        <w:rPr>
          <w:rFonts w:eastAsia="Times"/>
          <w:sz w:val="28"/>
          <w:szCs w:val="28"/>
          <w:lang w:val="vi-VN"/>
        </w:rPr>
        <w:t xml:space="preserve">Nữ: 140-360 </w:t>
      </w:r>
      <w:r w:rsidRPr="00581499">
        <w:rPr>
          <w:rFonts w:eastAsia="Times"/>
          <w:sz w:val="28"/>
          <w:szCs w:val="28"/>
        </w:rPr>
        <w:t>μ</w:t>
      </w:r>
      <w:r w:rsidRPr="008B25B4">
        <w:rPr>
          <w:rFonts w:eastAsia="Times"/>
          <w:sz w:val="28"/>
          <w:szCs w:val="28"/>
          <w:lang w:val="vi-VN"/>
        </w:rPr>
        <w:t xml:space="preserve">mol/l. </w:t>
      </w:r>
      <w:r w:rsidRPr="008B25B4">
        <w:rPr>
          <w:rFonts w:eastAsia="Calibri"/>
          <w:bCs/>
          <w:sz w:val="28"/>
          <w:szCs w:val="28"/>
          <w:lang w:val="vi-VN"/>
        </w:rPr>
        <w:t xml:space="preserve">2) </w:t>
      </w:r>
      <w:r w:rsidRPr="008B25B4">
        <w:rPr>
          <w:rFonts w:eastAsia="Times"/>
          <w:bCs/>
          <w:i/>
          <w:iCs/>
          <w:sz w:val="28"/>
          <w:szCs w:val="28"/>
          <w:lang w:val="vi-VN"/>
        </w:rPr>
        <w:t>Xét nghiệm nước tiểu:</w:t>
      </w:r>
      <w:r w:rsidRPr="008B25B4">
        <w:rPr>
          <w:rFonts w:eastAsia="Times"/>
          <w:sz w:val="28"/>
          <w:szCs w:val="28"/>
          <w:lang w:val="vi-VN"/>
        </w:rPr>
        <w:t xml:space="preserve"> giá trị tham chiếu cho axit uric niệu 24 giờ khác nhau tùy phòng thí nghiệm nhưng thường trong phạm vi sau: 250-750 mg/24 giờ.</w:t>
      </w:r>
    </w:p>
    <w:p w:rsidR="00BD1BC1" w:rsidRPr="008B25B4" w:rsidRDefault="00BD1BC1" w:rsidP="00BD1BC1">
      <w:pPr>
        <w:spacing w:before="120" w:after="0"/>
        <w:ind w:firstLine="567"/>
        <w:rPr>
          <w:rFonts w:eastAsia="Times"/>
          <w:sz w:val="28"/>
          <w:szCs w:val="28"/>
          <w:lang w:val="vi-VN"/>
        </w:rPr>
      </w:pPr>
      <w:r w:rsidRPr="008B25B4">
        <w:rPr>
          <w:rFonts w:eastAsia="Times"/>
          <w:sz w:val="28"/>
          <w:szCs w:val="28"/>
          <w:lang w:val="vi-VN"/>
        </w:rPr>
        <w:t>Tăng </w:t>
      </w:r>
      <w:r w:rsidRPr="008B25B4">
        <w:rPr>
          <w:rFonts w:eastAsia="Times"/>
          <w:i/>
          <w:sz w:val="28"/>
          <w:szCs w:val="28"/>
          <w:lang w:val="vi-VN"/>
        </w:rPr>
        <w:t>sản xuất</w:t>
      </w:r>
      <w:r w:rsidRPr="008B25B4">
        <w:rPr>
          <w:rFonts w:eastAsia="Times"/>
          <w:sz w:val="28"/>
          <w:szCs w:val="28"/>
          <w:lang w:val="vi-VN"/>
        </w:rPr>
        <w:t> axit uric có thể do ăn thực phẩm có nhiều purine. Tăng nồng độ axit uric do sản xuất quá mức cũng có thể được gây ra bởi bệnh gout, bệnh rối loạn di truyền chuyển hóa purin, hoặc do ung thư di căn, phá hủy các tế bào hồng cầu, bệnh bạch cầu, hoặc hóa trị ung thư.</w:t>
      </w:r>
    </w:p>
    <w:p w:rsidR="00BD1BC1" w:rsidRPr="008B25B4" w:rsidRDefault="00BD1BC1" w:rsidP="00BD1BC1">
      <w:pPr>
        <w:spacing w:before="120" w:after="0"/>
        <w:ind w:firstLine="567"/>
        <w:rPr>
          <w:rFonts w:eastAsia="Times"/>
          <w:sz w:val="28"/>
          <w:szCs w:val="28"/>
          <w:lang w:val="vi-VN"/>
        </w:rPr>
      </w:pPr>
      <w:r w:rsidRPr="008B25B4">
        <w:rPr>
          <w:rFonts w:eastAsia="Times"/>
          <w:sz w:val="28"/>
          <w:szCs w:val="28"/>
          <w:lang w:val="vi-VN"/>
        </w:rPr>
        <w:lastRenderedPageBreak/>
        <w:t>Giảm </w:t>
      </w:r>
      <w:r w:rsidRPr="008B25B4">
        <w:rPr>
          <w:rFonts w:eastAsia="Times"/>
          <w:iCs/>
          <w:sz w:val="28"/>
          <w:szCs w:val="28"/>
          <w:lang w:val="vi-VN"/>
        </w:rPr>
        <w:t>bài tiết</w:t>
      </w:r>
      <w:r w:rsidRPr="008B25B4">
        <w:rPr>
          <w:rFonts w:eastAsia="Times"/>
          <w:sz w:val="28"/>
          <w:szCs w:val="28"/>
          <w:lang w:val="vi-VN"/>
        </w:rPr>
        <w:t> axit uric được thấy trong bệnh thận mạn tính, nhược giáp, nhiễm độc thai nghén và nghiện rượu. Bệnh nhân bị bệnh gout bài tiết ít hơn một nửa lượng axit uric trong máu của họ so với người thường. Tuy nhiên, chỉ có 40-55% trong tổng số các trường hợp tăng axit uric máu gây ra bệnh gout.</w:t>
      </w:r>
    </w:p>
    <w:p w:rsidR="00BD1BC1" w:rsidRPr="008B25B4" w:rsidRDefault="00BD1BC1" w:rsidP="00BD1BC1">
      <w:pPr>
        <w:spacing w:before="120" w:after="0"/>
        <w:ind w:firstLine="567"/>
        <w:rPr>
          <w:rFonts w:eastAsia="Times"/>
          <w:sz w:val="28"/>
          <w:szCs w:val="28"/>
          <w:lang w:val="vi-VN"/>
        </w:rPr>
      </w:pPr>
      <w:r w:rsidRPr="008B25B4">
        <w:rPr>
          <w:rFonts w:eastAsia="Times"/>
          <w:sz w:val="28"/>
          <w:szCs w:val="28"/>
          <w:lang w:val="vi-VN"/>
        </w:rPr>
        <w:t>Nồng độ axit uric thấp bất thường có thể là dấu hiệu bệnh nhân đang dùng Allopurinol hoặc Probenecid điều trị bệnh gout; mang thai; hoặc mắc bệnh Wilson hay hội chứng Fanconi.</w:t>
      </w:r>
    </w:p>
    <w:p w:rsidR="00BD1BC1" w:rsidRPr="00581499" w:rsidRDefault="00BD1BC1" w:rsidP="00BD1BC1">
      <w:pPr>
        <w:spacing w:before="120" w:after="0" w:line="276" w:lineRule="auto"/>
        <w:ind w:firstLine="567"/>
        <w:contextualSpacing/>
        <w:jc w:val="right"/>
        <w:rPr>
          <w:b/>
          <w:sz w:val="20"/>
          <w:szCs w:val="20"/>
          <w:lang w:val="vi-VN"/>
        </w:rPr>
      </w:pPr>
      <w:r w:rsidRPr="00581499">
        <w:rPr>
          <w:b/>
          <w:sz w:val="20"/>
          <w:szCs w:val="20"/>
          <w:lang w:val="vi-VN"/>
        </w:rPr>
        <w:t>NGUYỄN MINH NÚI</w:t>
      </w:r>
    </w:p>
    <w:p w:rsidR="00BD1BC1" w:rsidRPr="008B25B4" w:rsidRDefault="00BD1BC1" w:rsidP="00BD1BC1">
      <w:pPr>
        <w:tabs>
          <w:tab w:val="left" w:pos="1080"/>
        </w:tabs>
        <w:spacing w:after="0"/>
        <w:rPr>
          <w:rFonts w:eastAsia="Times"/>
          <w:b/>
          <w:lang w:val="vi-VN"/>
        </w:rPr>
      </w:pPr>
      <w:r w:rsidRPr="008B25B4">
        <w:rPr>
          <w:rFonts w:eastAsia="Times"/>
          <w:b/>
          <w:lang w:val="vi-VN"/>
        </w:rPr>
        <w:t>Tài liệu tham khảo</w:t>
      </w:r>
    </w:p>
    <w:p w:rsidR="00BD1BC1" w:rsidRDefault="00BD1BC1" w:rsidP="00BD1BC1">
      <w:pPr>
        <w:spacing w:after="0"/>
        <w:rPr>
          <w:rFonts w:eastAsia="Times"/>
        </w:rPr>
      </w:pPr>
      <w:r w:rsidRPr="00581499">
        <w:rPr>
          <w:rFonts w:eastAsia="Times"/>
        </w:rPr>
        <w:t xml:space="preserve">1.Pagana, Kathleen Deska, and Timothy J. Pagana, </w:t>
      </w:r>
      <w:r w:rsidRPr="00581499">
        <w:rPr>
          <w:rFonts w:eastAsia="Times"/>
          <w:i/>
        </w:rPr>
        <w:t>Mosby’s Manual of Diagnostic and Laboratory Tests</w:t>
      </w:r>
      <w:r w:rsidRPr="00581499">
        <w:rPr>
          <w:rFonts w:eastAsia="Times"/>
        </w:rPr>
        <w:t>, 4th ed. St. Louis: Mosby, 2009</w:t>
      </w:r>
    </w:p>
    <w:p w:rsidR="00BD1BC1" w:rsidRPr="00581499" w:rsidRDefault="00BD1BC1" w:rsidP="00BD1BC1">
      <w:pPr>
        <w:spacing w:after="0"/>
        <w:rPr>
          <w:rFonts w:eastAsia="Times"/>
          <w:bCs/>
          <w:iCs/>
        </w:rPr>
      </w:pPr>
      <w:r>
        <w:rPr>
          <w:rFonts w:eastAsia="Times"/>
        </w:rPr>
        <w:t xml:space="preserve">2. </w:t>
      </w:r>
      <w:r w:rsidRPr="008769FA">
        <w:rPr>
          <w:rFonts w:eastAsia="Times"/>
        </w:rPr>
        <w:t>Nguyễn Đạt Anh (2013). Các xét nghiệm thường quy áp dụng trong thực hành lâm sàng. Nhà xuất bản y học, Hà Nội.</w:t>
      </w:r>
    </w:p>
    <w:p w:rsidR="00BD1BC1" w:rsidRPr="00581499" w:rsidRDefault="00BD1BC1" w:rsidP="00BD1BC1"/>
    <w:p w:rsidR="00BD1BC1" w:rsidRPr="00581499" w:rsidRDefault="00BD1BC1" w:rsidP="00BD1BC1"/>
    <w:p w:rsidR="000B6BAA" w:rsidRPr="00BD1BC1" w:rsidRDefault="000B6BAA" w:rsidP="00BD1BC1">
      <w:pPr>
        <w:ind w:firstLine="0"/>
        <w:rPr>
          <w:rFonts w:eastAsia="Calibri"/>
        </w:rPr>
      </w:pPr>
      <w:bookmarkStart w:id="1" w:name="_GoBack"/>
      <w:bookmarkEnd w:id="1"/>
    </w:p>
    <w:sectPr w:rsidR="000B6BAA" w:rsidRPr="00BD1BC1" w:rsidSect="008B7E46">
      <w:pgSz w:w="11907" w:h="16840" w:code="9"/>
      <w:pgMar w:top="1418"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vTimes">
    <w:altName w:val="Malgun Gothic"/>
    <w:panose1 w:val="00000000000000000000"/>
    <w:charset w:val="81"/>
    <w:family w:val="auto"/>
    <w:notTrueType/>
    <w:pitch w:val="default"/>
    <w:sig w:usb0="00000000" w:usb1="09060000" w:usb2="00000010" w:usb3="00000000" w:csb0="00080001"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dvTimes-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B6ADA"/>
    <w:multiLevelType w:val="hybridMultilevel"/>
    <w:tmpl w:val="CFB6275E"/>
    <w:lvl w:ilvl="0" w:tplc="BF883656">
      <w:start w:val="1"/>
      <w:numFmt w:val="decimal"/>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3EE4663A"/>
    <w:multiLevelType w:val="hybridMultilevel"/>
    <w:tmpl w:val="E0C0BFE0"/>
    <w:lvl w:ilvl="0" w:tplc="9196ABC2">
      <w:start w:val="1"/>
      <w:numFmt w:val="decimal"/>
      <w:lvlText w:val="%1."/>
      <w:lvlJc w:val="left"/>
      <w:pPr>
        <w:tabs>
          <w:tab w:val="num" w:pos="1134"/>
        </w:tabs>
        <w:ind w:left="0" w:firstLine="709"/>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408749DE"/>
    <w:multiLevelType w:val="hybridMultilevel"/>
    <w:tmpl w:val="C0C02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C53BCA"/>
    <w:multiLevelType w:val="hybridMultilevel"/>
    <w:tmpl w:val="23469B0E"/>
    <w:lvl w:ilvl="0" w:tplc="12581A56">
      <w:start w:val="1"/>
      <w:numFmt w:val="decimal"/>
      <w:lvlText w:val="%1."/>
      <w:lvlJc w:val="left"/>
      <w:pPr>
        <w:tabs>
          <w:tab w:val="num" w:pos="1134"/>
        </w:tabs>
        <w:ind w:firstLine="709"/>
      </w:pPr>
      <w:rPr>
        <w:rFonts w:cs="Times New Roman" w:hint="default"/>
      </w:rPr>
    </w:lvl>
    <w:lvl w:ilvl="1" w:tplc="042A0019" w:tentative="1">
      <w:start w:val="1"/>
      <w:numFmt w:val="lowerLetter"/>
      <w:lvlText w:val="%2."/>
      <w:lvlJc w:val="left"/>
      <w:pPr>
        <w:ind w:left="1789" w:hanging="360"/>
      </w:pPr>
      <w:rPr>
        <w:rFonts w:cs="Times New Roman"/>
      </w:rPr>
    </w:lvl>
    <w:lvl w:ilvl="2" w:tplc="042A001B" w:tentative="1">
      <w:start w:val="1"/>
      <w:numFmt w:val="lowerRoman"/>
      <w:lvlText w:val="%3."/>
      <w:lvlJc w:val="right"/>
      <w:pPr>
        <w:ind w:left="2509" w:hanging="180"/>
      </w:pPr>
      <w:rPr>
        <w:rFonts w:cs="Times New Roman"/>
      </w:rPr>
    </w:lvl>
    <w:lvl w:ilvl="3" w:tplc="042A000F" w:tentative="1">
      <w:start w:val="1"/>
      <w:numFmt w:val="decimal"/>
      <w:lvlText w:val="%4."/>
      <w:lvlJc w:val="left"/>
      <w:pPr>
        <w:ind w:left="3229" w:hanging="360"/>
      </w:pPr>
      <w:rPr>
        <w:rFonts w:cs="Times New Roman"/>
      </w:rPr>
    </w:lvl>
    <w:lvl w:ilvl="4" w:tplc="042A0019" w:tentative="1">
      <w:start w:val="1"/>
      <w:numFmt w:val="lowerLetter"/>
      <w:lvlText w:val="%5."/>
      <w:lvlJc w:val="left"/>
      <w:pPr>
        <w:ind w:left="3949" w:hanging="360"/>
      </w:pPr>
      <w:rPr>
        <w:rFonts w:cs="Times New Roman"/>
      </w:rPr>
    </w:lvl>
    <w:lvl w:ilvl="5" w:tplc="042A001B" w:tentative="1">
      <w:start w:val="1"/>
      <w:numFmt w:val="lowerRoman"/>
      <w:lvlText w:val="%6."/>
      <w:lvlJc w:val="right"/>
      <w:pPr>
        <w:ind w:left="4669" w:hanging="180"/>
      </w:pPr>
      <w:rPr>
        <w:rFonts w:cs="Times New Roman"/>
      </w:rPr>
    </w:lvl>
    <w:lvl w:ilvl="6" w:tplc="042A000F" w:tentative="1">
      <w:start w:val="1"/>
      <w:numFmt w:val="decimal"/>
      <w:lvlText w:val="%7."/>
      <w:lvlJc w:val="left"/>
      <w:pPr>
        <w:ind w:left="5389" w:hanging="360"/>
      </w:pPr>
      <w:rPr>
        <w:rFonts w:cs="Times New Roman"/>
      </w:rPr>
    </w:lvl>
    <w:lvl w:ilvl="7" w:tplc="042A0019" w:tentative="1">
      <w:start w:val="1"/>
      <w:numFmt w:val="lowerLetter"/>
      <w:lvlText w:val="%8."/>
      <w:lvlJc w:val="left"/>
      <w:pPr>
        <w:ind w:left="6109" w:hanging="360"/>
      </w:pPr>
      <w:rPr>
        <w:rFonts w:cs="Times New Roman"/>
      </w:rPr>
    </w:lvl>
    <w:lvl w:ilvl="8" w:tplc="042A001B" w:tentative="1">
      <w:start w:val="1"/>
      <w:numFmt w:val="lowerRoman"/>
      <w:lvlText w:val="%9."/>
      <w:lvlJc w:val="right"/>
      <w:pPr>
        <w:ind w:left="6829" w:hanging="180"/>
      </w:pPr>
      <w:rPr>
        <w:rFonts w:cs="Times New Roman"/>
      </w:rPr>
    </w:lvl>
  </w:abstractNum>
  <w:abstractNum w:abstractNumId="4" w15:restartNumberingAfterBreak="0">
    <w:nsid w:val="7C8F43C1"/>
    <w:multiLevelType w:val="hybridMultilevel"/>
    <w:tmpl w:val="9594D02A"/>
    <w:lvl w:ilvl="0" w:tplc="1E88A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F7"/>
    <w:rsid w:val="00007EE9"/>
    <w:rsid w:val="00013EA6"/>
    <w:rsid w:val="0003237F"/>
    <w:rsid w:val="00042029"/>
    <w:rsid w:val="000420C5"/>
    <w:rsid w:val="000454E3"/>
    <w:rsid w:val="00053B68"/>
    <w:rsid w:val="00063AF9"/>
    <w:rsid w:val="000A1345"/>
    <w:rsid w:val="000B49F6"/>
    <w:rsid w:val="000B6BAA"/>
    <w:rsid w:val="000D2F90"/>
    <w:rsid w:val="000F6B69"/>
    <w:rsid w:val="001547FD"/>
    <w:rsid w:val="001560F1"/>
    <w:rsid w:val="001642DB"/>
    <w:rsid w:val="001771EF"/>
    <w:rsid w:val="00194D7D"/>
    <w:rsid w:val="001A3D39"/>
    <w:rsid w:val="001B7EE3"/>
    <w:rsid w:val="001D441E"/>
    <w:rsid w:val="001D5D66"/>
    <w:rsid w:val="001E561C"/>
    <w:rsid w:val="001F20A0"/>
    <w:rsid w:val="00224D33"/>
    <w:rsid w:val="00231C47"/>
    <w:rsid w:val="00233CEA"/>
    <w:rsid w:val="002667AB"/>
    <w:rsid w:val="00271A59"/>
    <w:rsid w:val="00273149"/>
    <w:rsid w:val="0028328A"/>
    <w:rsid w:val="002D2C6E"/>
    <w:rsid w:val="002D72C9"/>
    <w:rsid w:val="002E7D0D"/>
    <w:rsid w:val="003002B9"/>
    <w:rsid w:val="003079C0"/>
    <w:rsid w:val="00321C5B"/>
    <w:rsid w:val="00321F09"/>
    <w:rsid w:val="00334693"/>
    <w:rsid w:val="0034219C"/>
    <w:rsid w:val="00351C42"/>
    <w:rsid w:val="00374CBE"/>
    <w:rsid w:val="00381949"/>
    <w:rsid w:val="00381E4A"/>
    <w:rsid w:val="003838FF"/>
    <w:rsid w:val="00391A26"/>
    <w:rsid w:val="003A3820"/>
    <w:rsid w:val="003C4B5A"/>
    <w:rsid w:val="0041721F"/>
    <w:rsid w:val="00417CE8"/>
    <w:rsid w:val="00421B3F"/>
    <w:rsid w:val="0042544A"/>
    <w:rsid w:val="00427C51"/>
    <w:rsid w:val="004343CD"/>
    <w:rsid w:val="004847BB"/>
    <w:rsid w:val="00490A6F"/>
    <w:rsid w:val="004A3532"/>
    <w:rsid w:val="004A356B"/>
    <w:rsid w:val="004C5369"/>
    <w:rsid w:val="004D1445"/>
    <w:rsid w:val="004E053C"/>
    <w:rsid w:val="004F2667"/>
    <w:rsid w:val="00526642"/>
    <w:rsid w:val="005348AA"/>
    <w:rsid w:val="00536AA4"/>
    <w:rsid w:val="00537B67"/>
    <w:rsid w:val="0057012D"/>
    <w:rsid w:val="005765F4"/>
    <w:rsid w:val="00577A91"/>
    <w:rsid w:val="005804EF"/>
    <w:rsid w:val="005915CA"/>
    <w:rsid w:val="00592227"/>
    <w:rsid w:val="00592B9E"/>
    <w:rsid w:val="005A7617"/>
    <w:rsid w:val="005B22C3"/>
    <w:rsid w:val="005D59D5"/>
    <w:rsid w:val="00600DBD"/>
    <w:rsid w:val="0060249D"/>
    <w:rsid w:val="00607EE7"/>
    <w:rsid w:val="0062421E"/>
    <w:rsid w:val="00643571"/>
    <w:rsid w:val="00652E8A"/>
    <w:rsid w:val="00691048"/>
    <w:rsid w:val="00693761"/>
    <w:rsid w:val="006B6DD6"/>
    <w:rsid w:val="006C6214"/>
    <w:rsid w:val="006E1CD0"/>
    <w:rsid w:val="006E2834"/>
    <w:rsid w:val="00713B3B"/>
    <w:rsid w:val="00727150"/>
    <w:rsid w:val="007540B6"/>
    <w:rsid w:val="00765265"/>
    <w:rsid w:val="00767F36"/>
    <w:rsid w:val="00790508"/>
    <w:rsid w:val="007A1652"/>
    <w:rsid w:val="007E550F"/>
    <w:rsid w:val="007F4568"/>
    <w:rsid w:val="00801D91"/>
    <w:rsid w:val="00841862"/>
    <w:rsid w:val="00842F56"/>
    <w:rsid w:val="00862FF3"/>
    <w:rsid w:val="0087546A"/>
    <w:rsid w:val="00876FF7"/>
    <w:rsid w:val="00897D9B"/>
    <w:rsid w:val="008A0215"/>
    <w:rsid w:val="008A327A"/>
    <w:rsid w:val="008B0B53"/>
    <w:rsid w:val="008B7E46"/>
    <w:rsid w:val="008C39A7"/>
    <w:rsid w:val="008C6F11"/>
    <w:rsid w:val="008F4F10"/>
    <w:rsid w:val="009256F0"/>
    <w:rsid w:val="00960107"/>
    <w:rsid w:val="00963EF1"/>
    <w:rsid w:val="00975BF8"/>
    <w:rsid w:val="009B5310"/>
    <w:rsid w:val="009B7DC1"/>
    <w:rsid w:val="009C73C5"/>
    <w:rsid w:val="009D4631"/>
    <w:rsid w:val="009E11AF"/>
    <w:rsid w:val="009F1B60"/>
    <w:rsid w:val="00A1211F"/>
    <w:rsid w:val="00A25811"/>
    <w:rsid w:val="00A337E1"/>
    <w:rsid w:val="00A47A91"/>
    <w:rsid w:val="00A62DF9"/>
    <w:rsid w:val="00A634A2"/>
    <w:rsid w:val="00A66B8C"/>
    <w:rsid w:val="00A74AE1"/>
    <w:rsid w:val="00AA1E82"/>
    <w:rsid w:val="00AA3065"/>
    <w:rsid w:val="00AB59B5"/>
    <w:rsid w:val="00AC62D3"/>
    <w:rsid w:val="00AE3FD1"/>
    <w:rsid w:val="00AF4E95"/>
    <w:rsid w:val="00B05A69"/>
    <w:rsid w:val="00B30FA1"/>
    <w:rsid w:val="00B44C50"/>
    <w:rsid w:val="00B55151"/>
    <w:rsid w:val="00B7534C"/>
    <w:rsid w:val="00B83CC3"/>
    <w:rsid w:val="00B85ADD"/>
    <w:rsid w:val="00B92741"/>
    <w:rsid w:val="00B97FA5"/>
    <w:rsid w:val="00BB1C53"/>
    <w:rsid w:val="00BD1BC1"/>
    <w:rsid w:val="00BD45AA"/>
    <w:rsid w:val="00BE6553"/>
    <w:rsid w:val="00BF4E16"/>
    <w:rsid w:val="00C05A6E"/>
    <w:rsid w:val="00C21851"/>
    <w:rsid w:val="00C24486"/>
    <w:rsid w:val="00C35B9F"/>
    <w:rsid w:val="00C45B3B"/>
    <w:rsid w:val="00C6032C"/>
    <w:rsid w:val="00C6320B"/>
    <w:rsid w:val="00C67146"/>
    <w:rsid w:val="00C77C7A"/>
    <w:rsid w:val="00CA24F5"/>
    <w:rsid w:val="00CA3FF4"/>
    <w:rsid w:val="00CA6C00"/>
    <w:rsid w:val="00CB1F02"/>
    <w:rsid w:val="00CC1D0E"/>
    <w:rsid w:val="00D01398"/>
    <w:rsid w:val="00D14647"/>
    <w:rsid w:val="00D23A76"/>
    <w:rsid w:val="00D66526"/>
    <w:rsid w:val="00D67973"/>
    <w:rsid w:val="00DA498A"/>
    <w:rsid w:val="00DA6B65"/>
    <w:rsid w:val="00DB609A"/>
    <w:rsid w:val="00DE4E2C"/>
    <w:rsid w:val="00E02D70"/>
    <w:rsid w:val="00E110EF"/>
    <w:rsid w:val="00E118FA"/>
    <w:rsid w:val="00E15285"/>
    <w:rsid w:val="00E41440"/>
    <w:rsid w:val="00E432FC"/>
    <w:rsid w:val="00E8752A"/>
    <w:rsid w:val="00E9536A"/>
    <w:rsid w:val="00ED076B"/>
    <w:rsid w:val="00ED11DF"/>
    <w:rsid w:val="00EE2A82"/>
    <w:rsid w:val="00EE47B7"/>
    <w:rsid w:val="00F141F6"/>
    <w:rsid w:val="00F328B2"/>
    <w:rsid w:val="00F36992"/>
    <w:rsid w:val="00F438BD"/>
    <w:rsid w:val="00F43F7C"/>
    <w:rsid w:val="00F45233"/>
    <w:rsid w:val="00F563C0"/>
    <w:rsid w:val="00F60540"/>
    <w:rsid w:val="00F67ED6"/>
    <w:rsid w:val="00F8113B"/>
    <w:rsid w:val="00F9069E"/>
    <w:rsid w:val="00F95F14"/>
    <w:rsid w:val="00FA2E67"/>
    <w:rsid w:val="00FB1C97"/>
    <w:rsid w:val="00FB45FF"/>
    <w:rsid w:val="00FC31FA"/>
    <w:rsid w:val="00FE4591"/>
    <w:rsid w:val="00FF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128E5"/>
  <w15:chartTrackingRefBased/>
  <w15:docId w15:val="{73213799-069C-4B7F-BCAE-4531ACD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E46"/>
    <w:pPr>
      <w:spacing w:after="120" w:line="360" w:lineRule="auto"/>
      <w:ind w:firstLine="720"/>
      <w:jc w:val="both"/>
    </w:pPr>
    <w:rPr>
      <w:rFonts w:eastAsia="Times New Roman" w:cs="Times New Roman"/>
      <w:sz w:val="24"/>
      <w:szCs w:val="24"/>
    </w:rPr>
  </w:style>
  <w:style w:type="paragraph" w:styleId="Heading1">
    <w:name w:val="heading 1"/>
    <w:basedOn w:val="Normal"/>
    <w:next w:val="Normal"/>
    <w:link w:val="Heading1Char"/>
    <w:uiPriority w:val="9"/>
    <w:qFormat/>
    <w:rsid w:val="008B7E46"/>
    <w:pPr>
      <w:spacing w:after="0"/>
      <w:ind w:firstLine="0"/>
      <w:jc w:val="center"/>
      <w:outlineLvl w:val="0"/>
    </w:pPr>
    <w:rPr>
      <w:rFonts w:eastAsia="Calibri"/>
      <w:b/>
      <w:sz w:val="28"/>
      <w:szCs w:val="28"/>
      <w:lang w:val="es-ES"/>
    </w:rPr>
  </w:style>
  <w:style w:type="paragraph" w:styleId="Heading2">
    <w:name w:val="heading 2"/>
    <w:basedOn w:val="Normal"/>
    <w:next w:val="Normal"/>
    <w:link w:val="Heading2Char"/>
    <w:uiPriority w:val="9"/>
    <w:semiHidden/>
    <w:unhideWhenUsed/>
    <w:qFormat/>
    <w:rsid w:val="008F4F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91A2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46"/>
    <w:rPr>
      <w:rFonts w:eastAsia="Calibri" w:cs="Times New Roman"/>
      <w:b/>
      <w:szCs w:val="28"/>
      <w:lang w:val="es-ES"/>
    </w:rPr>
  </w:style>
  <w:style w:type="paragraph" w:styleId="ListParagraph">
    <w:name w:val="List Paragraph"/>
    <w:aliases w:val="gach ngang"/>
    <w:basedOn w:val="Normal"/>
    <w:link w:val="ListParagraphChar"/>
    <w:uiPriority w:val="34"/>
    <w:qFormat/>
    <w:rsid w:val="008C6F11"/>
    <w:pPr>
      <w:ind w:left="720"/>
      <w:contextualSpacing/>
    </w:pPr>
    <w:rPr>
      <w:rFonts w:eastAsia="Calibri"/>
      <w:sz w:val="28"/>
      <w:szCs w:val="22"/>
      <w:lang w:val="x-none" w:eastAsia="x-none"/>
    </w:rPr>
  </w:style>
  <w:style w:type="character" w:customStyle="1" w:styleId="ListParagraphChar">
    <w:name w:val="List Paragraph Char"/>
    <w:aliases w:val="gach ngang Char"/>
    <w:link w:val="ListParagraph"/>
    <w:uiPriority w:val="34"/>
    <w:qFormat/>
    <w:locked/>
    <w:rsid w:val="008C6F11"/>
    <w:rPr>
      <w:rFonts w:eastAsia="Calibri" w:cs="Times New Roman"/>
      <w:lang w:val="x-none" w:eastAsia="x-none"/>
    </w:rPr>
  </w:style>
  <w:style w:type="character" w:customStyle="1" w:styleId="fontstyle01">
    <w:name w:val="fontstyle01"/>
    <w:qFormat/>
    <w:rsid w:val="00A337E1"/>
    <w:rPr>
      <w:rFonts w:ascii="AdvTimes" w:hAnsi="AdvTimes" w:hint="default"/>
      <w:b w:val="0"/>
      <w:bCs w:val="0"/>
      <w:i w:val="0"/>
      <w:iCs w:val="0"/>
      <w:color w:val="231F20"/>
      <w:sz w:val="20"/>
      <w:szCs w:val="20"/>
    </w:rPr>
  </w:style>
  <w:style w:type="paragraph" w:styleId="Title">
    <w:name w:val="Title"/>
    <w:basedOn w:val="Normal"/>
    <w:link w:val="TitleChar"/>
    <w:qFormat/>
    <w:rsid w:val="004C5369"/>
    <w:pPr>
      <w:ind w:left="5040"/>
      <w:jc w:val="center"/>
    </w:pPr>
    <w:rPr>
      <w:rFonts w:ascii=".VnTime" w:hAnsi=".VnTime"/>
      <w:b/>
      <w:sz w:val="20"/>
      <w:szCs w:val="20"/>
      <w:lang w:val="x-none" w:eastAsia="x-none"/>
    </w:rPr>
  </w:style>
  <w:style w:type="character" w:customStyle="1" w:styleId="TitleChar">
    <w:name w:val="Title Char"/>
    <w:basedOn w:val="DefaultParagraphFont"/>
    <w:link w:val="Title"/>
    <w:rsid w:val="004C5369"/>
    <w:rPr>
      <w:rFonts w:ascii=".VnTime" w:eastAsia="Times New Roman" w:hAnsi=".VnTime" w:cs="Times New Roman"/>
      <w:b/>
      <w:sz w:val="20"/>
      <w:szCs w:val="20"/>
      <w:lang w:val="x-none" w:eastAsia="x-none"/>
    </w:rPr>
  </w:style>
  <w:style w:type="character" w:styleId="Hyperlink">
    <w:name w:val="Hyperlink"/>
    <w:uiPriority w:val="99"/>
    <w:rsid w:val="001547FD"/>
    <w:rPr>
      <w:color w:val="0000FF"/>
      <w:u w:val="single"/>
    </w:rPr>
  </w:style>
  <w:style w:type="paragraph" w:styleId="HTMLPreformatted">
    <w:name w:val="HTML Preformatted"/>
    <w:basedOn w:val="Normal"/>
    <w:link w:val="HTMLPreformattedChar"/>
    <w:uiPriority w:val="99"/>
    <w:unhideWhenUsed/>
    <w:qFormat/>
    <w:rsid w:val="00154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uiPriority w:val="99"/>
    <w:rsid w:val="001547FD"/>
    <w:rPr>
      <w:rFonts w:ascii="Courier New" w:eastAsia="Times New Roman" w:hAnsi="Courier New" w:cs="Times New Roman"/>
      <w:sz w:val="20"/>
      <w:szCs w:val="20"/>
      <w:lang w:val="vi-VN" w:eastAsia="vi-VN"/>
    </w:rPr>
  </w:style>
  <w:style w:type="paragraph" w:styleId="NoSpacing">
    <w:name w:val="No Spacing"/>
    <w:uiPriority w:val="1"/>
    <w:qFormat/>
    <w:rsid w:val="0060249D"/>
    <w:pPr>
      <w:spacing w:after="120" w:line="360" w:lineRule="auto"/>
      <w:ind w:firstLine="720"/>
      <w:jc w:val="both"/>
    </w:pPr>
    <w:rPr>
      <w:rFonts w:eastAsia="Calibri" w:cs="Times New Roman"/>
    </w:rPr>
  </w:style>
  <w:style w:type="character" w:styleId="Strong">
    <w:name w:val="Strong"/>
    <w:uiPriority w:val="22"/>
    <w:qFormat/>
    <w:rsid w:val="00C05A6E"/>
    <w:rPr>
      <w:b/>
      <w:bCs/>
    </w:rPr>
  </w:style>
  <w:style w:type="paragraph" w:styleId="NormalWeb">
    <w:name w:val="Normal (Web)"/>
    <w:basedOn w:val="Normal"/>
    <w:uiPriority w:val="99"/>
    <w:unhideWhenUsed/>
    <w:rsid w:val="00C05A6E"/>
    <w:pPr>
      <w:spacing w:before="100" w:beforeAutospacing="1" w:after="100" w:afterAutospacing="1"/>
    </w:pPr>
    <w:rPr>
      <w:lang w:val="vi-VN" w:eastAsia="vi-VN"/>
    </w:rPr>
  </w:style>
  <w:style w:type="character" w:styleId="Emphasis">
    <w:name w:val="Emphasis"/>
    <w:uiPriority w:val="20"/>
    <w:qFormat/>
    <w:rsid w:val="00C05A6E"/>
    <w:rPr>
      <w:i/>
      <w:iCs/>
    </w:rPr>
  </w:style>
  <w:style w:type="paragraph" w:customStyle="1" w:styleId="Style1">
    <w:name w:val="Style1"/>
    <w:basedOn w:val="Normal"/>
    <w:link w:val="Style1Char"/>
    <w:qFormat/>
    <w:rsid w:val="00381E4A"/>
    <w:pPr>
      <w:spacing w:after="160" w:line="259" w:lineRule="auto"/>
      <w:ind w:firstLine="540"/>
      <w:jc w:val="center"/>
    </w:pPr>
    <w:rPr>
      <w:rFonts w:eastAsia="Calibri"/>
      <w:b/>
      <w:bCs/>
      <w:sz w:val="30"/>
      <w:szCs w:val="30"/>
      <w:lang w:val="x-none" w:eastAsia="x-none"/>
    </w:rPr>
  </w:style>
  <w:style w:type="character" w:customStyle="1" w:styleId="Style1Char">
    <w:name w:val="Style1 Char"/>
    <w:link w:val="Style1"/>
    <w:rsid w:val="00381E4A"/>
    <w:rPr>
      <w:rFonts w:eastAsia="Calibri" w:cs="Times New Roman"/>
      <w:b/>
      <w:bCs/>
      <w:sz w:val="30"/>
      <w:szCs w:val="30"/>
      <w:lang w:val="x-none" w:eastAsia="x-none"/>
    </w:rPr>
  </w:style>
  <w:style w:type="character" w:customStyle="1" w:styleId="Heading3Char">
    <w:name w:val="Heading 3 Char"/>
    <w:basedOn w:val="DefaultParagraphFont"/>
    <w:link w:val="Heading3"/>
    <w:uiPriority w:val="9"/>
    <w:semiHidden/>
    <w:rsid w:val="00391A2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8F4F10"/>
    <w:rPr>
      <w:rFonts w:asciiTheme="majorHAnsi" w:eastAsiaTheme="majorEastAsia" w:hAnsiTheme="majorHAnsi" w:cstheme="majorBidi"/>
      <w:color w:val="2F5496" w:themeColor="accent1" w:themeShade="BF"/>
      <w:sz w:val="26"/>
      <w:szCs w:val="26"/>
    </w:rPr>
  </w:style>
  <w:style w:type="character" w:customStyle="1" w:styleId="tlid-translation">
    <w:name w:val="tlid-translation"/>
    <w:rsid w:val="00FC31FA"/>
  </w:style>
  <w:style w:type="character" w:customStyle="1" w:styleId="docsum-authors">
    <w:name w:val="docsum-authors"/>
    <w:rsid w:val="003C4B5A"/>
  </w:style>
  <w:style w:type="character" w:customStyle="1" w:styleId="docsum-journal-citation">
    <w:name w:val="docsum-journal-citation"/>
    <w:rsid w:val="003C4B5A"/>
  </w:style>
  <w:style w:type="character" w:customStyle="1" w:styleId="y2iqfc">
    <w:name w:val="y2iqfc"/>
    <w:basedOn w:val="DefaultParagraphFont"/>
    <w:rsid w:val="00381949"/>
  </w:style>
  <w:style w:type="character" w:customStyle="1" w:styleId="fontstyle21">
    <w:name w:val="fontstyle21"/>
    <w:qFormat/>
    <w:rsid w:val="000B49F6"/>
    <w:rPr>
      <w:rFonts w:ascii="AdvTimes-i" w:hAnsi="AdvTimes-i" w:hint="default"/>
      <w:b w:val="0"/>
      <w:bCs w:val="0"/>
      <w:i w:val="0"/>
      <w:iCs w:val="0"/>
      <w:color w:val="242021"/>
      <w:sz w:val="18"/>
      <w:szCs w:val="18"/>
    </w:rPr>
  </w:style>
  <w:style w:type="paragraph" w:styleId="BodyText">
    <w:name w:val="Body Text"/>
    <w:basedOn w:val="Normal"/>
    <w:link w:val="BodyTextChar"/>
    <w:uiPriority w:val="1"/>
    <w:qFormat/>
    <w:rsid w:val="00321C5B"/>
    <w:pPr>
      <w:widowControl w:val="0"/>
    </w:pPr>
    <w:rPr>
      <w:rFonts w:ascii=".VnTime" w:hAnsi=".VnTime"/>
      <w:sz w:val="26"/>
      <w:szCs w:val="20"/>
      <w:lang w:val="x-none" w:eastAsia="x-none"/>
    </w:rPr>
  </w:style>
  <w:style w:type="character" w:customStyle="1" w:styleId="BodyTextChar">
    <w:name w:val="Body Text Char"/>
    <w:basedOn w:val="DefaultParagraphFont"/>
    <w:link w:val="BodyText"/>
    <w:uiPriority w:val="1"/>
    <w:rsid w:val="00321C5B"/>
    <w:rPr>
      <w:rFonts w:ascii=".VnTime" w:eastAsia="Times New Roman" w:hAnsi=".VnTime" w:cs="Times New Roman"/>
      <w:sz w:val="26"/>
      <w:szCs w:val="20"/>
      <w:lang w:val="x-none" w:eastAsia="x-none"/>
    </w:rPr>
  </w:style>
  <w:style w:type="character" w:customStyle="1" w:styleId="Heading30">
    <w:name w:val="Heading #3_"/>
    <w:link w:val="Heading31"/>
    <w:locked/>
    <w:rsid w:val="00321C5B"/>
    <w:rPr>
      <w:rFonts w:ascii="Arial" w:eastAsia="Arial" w:hAnsi="Arial" w:cs="Arial"/>
      <w:b/>
      <w:bCs/>
      <w:color w:val="38802C"/>
      <w:sz w:val="18"/>
      <w:szCs w:val="18"/>
      <w:shd w:val="clear" w:color="auto" w:fill="FFFFFF"/>
    </w:rPr>
  </w:style>
  <w:style w:type="paragraph" w:customStyle="1" w:styleId="Heading31">
    <w:name w:val="Heading #3"/>
    <w:basedOn w:val="Normal"/>
    <w:link w:val="Heading30"/>
    <w:rsid w:val="00321C5B"/>
    <w:pPr>
      <w:widowControl w:val="0"/>
      <w:shd w:val="clear" w:color="auto" w:fill="FFFFFF"/>
      <w:spacing w:line="276" w:lineRule="auto"/>
      <w:ind w:firstLine="380"/>
      <w:jc w:val="left"/>
      <w:outlineLvl w:val="2"/>
    </w:pPr>
    <w:rPr>
      <w:rFonts w:ascii="Arial" w:eastAsia="Arial" w:hAnsi="Arial" w:cs="Arial"/>
      <w:b/>
      <w:bCs/>
      <w:color w:val="38802C"/>
      <w:sz w:val="18"/>
      <w:szCs w:val="18"/>
    </w:rPr>
  </w:style>
  <w:style w:type="character" w:customStyle="1" w:styleId="fontstyle11">
    <w:name w:val="fontstyle11"/>
    <w:rsid w:val="00643571"/>
    <w:rPr>
      <w:rFonts w:ascii="AdvTimes" w:hAnsi="AdvTimes" w:hint="default"/>
      <w:b w:val="0"/>
      <w:bCs w:val="0"/>
      <w:i w:val="0"/>
      <w:iCs w:val="0"/>
      <w:color w:val="231F20"/>
      <w:sz w:val="18"/>
      <w:szCs w:val="18"/>
    </w:rPr>
  </w:style>
  <w:style w:type="character" w:customStyle="1" w:styleId="fontstyle31">
    <w:name w:val="fontstyle31"/>
    <w:rsid w:val="00643571"/>
    <w:rPr>
      <w:rFonts w:ascii="AdvTimes-i" w:hAnsi="AdvTimes-i" w:hint="default"/>
      <w:b w:val="0"/>
      <w:bCs w:val="0"/>
      <w:i w:val="0"/>
      <w:iCs w:val="0"/>
      <w:color w:val="231F20"/>
      <w:sz w:val="18"/>
      <w:szCs w:val="18"/>
    </w:rPr>
  </w:style>
  <w:style w:type="paragraph" w:styleId="BodyTextFirstIndent">
    <w:name w:val="Body Text First Indent"/>
    <w:basedOn w:val="BodyText"/>
    <w:link w:val="BodyTextFirstIndentChar"/>
    <w:uiPriority w:val="99"/>
    <w:semiHidden/>
    <w:unhideWhenUsed/>
    <w:rsid w:val="00801D91"/>
    <w:pPr>
      <w:widowControl/>
      <w:ind w:firstLine="360"/>
    </w:pPr>
    <w:rPr>
      <w:rFonts w:ascii="Times New Roman" w:hAnsi="Times New Roman"/>
      <w:sz w:val="24"/>
      <w:szCs w:val="24"/>
      <w:lang w:val="en-US" w:eastAsia="en-US"/>
    </w:rPr>
  </w:style>
  <w:style w:type="character" w:customStyle="1" w:styleId="BodyTextFirstIndentChar">
    <w:name w:val="Body Text First Indent Char"/>
    <w:basedOn w:val="BodyTextChar"/>
    <w:link w:val="BodyTextFirstIndent"/>
    <w:uiPriority w:val="99"/>
    <w:semiHidden/>
    <w:rsid w:val="00801D91"/>
    <w:rPr>
      <w:rFonts w:ascii=".VnTime" w:eastAsia="Times New Roman" w:hAnsi=".VnTime" w:cs="Times New Roman"/>
      <w:sz w:val="24"/>
      <w:szCs w:val="24"/>
      <w:lang w:val="x-none" w:eastAsia="x-none"/>
    </w:rPr>
  </w:style>
  <w:style w:type="paragraph" w:styleId="PlainText">
    <w:name w:val="Plain Text"/>
    <w:basedOn w:val="Normal"/>
    <w:link w:val="PlainTextChar"/>
    <w:uiPriority w:val="99"/>
    <w:unhideWhenUsed/>
    <w:rsid w:val="005348AA"/>
    <w:pPr>
      <w:spacing w:after="0"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348A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201</cp:revision>
  <dcterms:created xsi:type="dcterms:W3CDTF">2025-11-24T04:30:00Z</dcterms:created>
  <dcterms:modified xsi:type="dcterms:W3CDTF">2025-12-08T09:09:00Z</dcterms:modified>
</cp:coreProperties>
</file>